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473F3" w:rsidRPr="009473F3" w:rsidRDefault="009473F3">
      <w:pPr>
        <w:rPr>
          <w:b/>
          <w:sz w:val="24"/>
          <w:szCs w:val="24"/>
        </w:rPr>
      </w:pPr>
      <w:bookmarkStart w:id="0" w:name="_GoBack"/>
      <w:r w:rsidRPr="009473F3">
        <w:rPr>
          <w:b/>
          <w:sz w:val="24"/>
          <w:szCs w:val="24"/>
        </w:rPr>
        <w:t>Checkliste 1: Erhöhung der Anzahl größerer Aufträge</w:t>
      </w:r>
    </w:p>
    <w:tbl>
      <w:tblPr>
        <w:tblStyle w:val="Tabellenraster"/>
        <w:tblW w:w="9214" w:type="dxa"/>
        <w:tblInd w:w="108" w:type="dxa"/>
        <w:tblLayout w:type="fixed"/>
        <w:tblLook w:val="04A0" w:firstRow="1" w:lastRow="0" w:firstColumn="1" w:lastColumn="0" w:noHBand="0" w:noVBand="1"/>
      </w:tblPr>
      <w:tblGrid>
        <w:gridCol w:w="426"/>
        <w:gridCol w:w="4252"/>
        <w:gridCol w:w="1701"/>
        <w:gridCol w:w="2835"/>
      </w:tblGrid>
      <w:tr w:rsidR="00A24C03" w:rsidRPr="009E635B" w:rsidTr="009473F3">
        <w:trPr>
          <w:trHeight w:val="819"/>
        </w:trPr>
        <w:tc>
          <w:tcPr>
            <w:tcW w:w="4678" w:type="dxa"/>
            <w:gridSpan w:val="2"/>
            <w:shd w:val="clear" w:color="auto" w:fill="D9D9D9" w:themeFill="background1" w:themeFillShade="D9"/>
            <w:vAlign w:val="center"/>
          </w:tcPr>
          <w:bookmarkEnd w:id="0"/>
          <w:p w:rsidR="00A24C03" w:rsidRPr="009473F3" w:rsidRDefault="00A24C03" w:rsidP="00174A2F">
            <w:pPr>
              <w:spacing w:before="40" w:after="40" w:line="276" w:lineRule="auto"/>
              <w:rPr>
                <w:rFonts w:cstheme="minorHAnsi"/>
                <w:b/>
              </w:rPr>
            </w:pPr>
            <w:r w:rsidRPr="009473F3">
              <w:rPr>
                <w:rFonts w:cstheme="minorHAnsi"/>
                <w:b/>
              </w:rPr>
              <w:t>Maßnahmen/Prüfpunkt</w:t>
            </w:r>
          </w:p>
        </w:tc>
        <w:tc>
          <w:tcPr>
            <w:tcW w:w="1701" w:type="dxa"/>
            <w:shd w:val="clear" w:color="auto" w:fill="D9D9D9" w:themeFill="background1" w:themeFillShade="D9"/>
            <w:vAlign w:val="center"/>
          </w:tcPr>
          <w:p w:rsidR="00A24C03" w:rsidRPr="009473F3" w:rsidRDefault="00A24C03" w:rsidP="00641FAF">
            <w:pPr>
              <w:spacing w:before="40" w:after="40" w:line="276" w:lineRule="auto"/>
              <w:jc w:val="center"/>
              <w:rPr>
                <w:rFonts w:cstheme="minorHAnsi"/>
                <w:b/>
              </w:rPr>
            </w:pPr>
            <w:r w:rsidRPr="009473F3">
              <w:rPr>
                <w:rFonts w:cstheme="minorHAnsi"/>
                <w:b/>
              </w:rPr>
              <w:t>berücksichtigt/durchgeführt</w:t>
            </w:r>
          </w:p>
        </w:tc>
        <w:tc>
          <w:tcPr>
            <w:tcW w:w="2835" w:type="dxa"/>
            <w:shd w:val="clear" w:color="auto" w:fill="D9D9D9" w:themeFill="background1" w:themeFillShade="D9"/>
            <w:vAlign w:val="center"/>
          </w:tcPr>
          <w:p w:rsidR="00A24C03" w:rsidRPr="009473F3" w:rsidRDefault="00A24C03" w:rsidP="00641FAF">
            <w:pPr>
              <w:spacing w:before="40" w:after="40" w:line="276" w:lineRule="auto"/>
              <w:jc w:val="center"/>
              <w:rPr>
                <w:rFonts w:cstheme="minorHAnsi"/>
                <w:b/>
              </w:rPr>
            </w:pPr>
            <w:r w:rsidRPr="009473F3">
              <w:rPr>
                <w:rFonts w:cstheme="minorHAnsi"/>
                <w:b/>
              </w:rPr>
              <w:t>Bemerkungen</w:t>
            </w:r>
          </w:p>
        </w:tc>
      </w:tr>
      <w:tr w:rsidR="00A24C03" w:rsidRPr="009E635B" w:rsidTr="009473F3">
        <w:trPr>
          <w:trHeight w:val="851"/>
        </w:trPr>
        <w:tc>
          <w:tcPr>
            <w:tcW w:w="426" w:type="dxa"/>
            <w:tcBorders>
              <w:top w:val="single" w:sz="4" w:space="0" w:color="auto"/>
              <w:left w:val="single" w:sz="4" w:space="0" w:color="auto"/>
              <w:bottom w:val="single" w:sz="4" w:space="0" w:color="auto"/>
              <w:right w:val="nil"/>
            </w:tcBorders>
          </w:tcPr>
          <w:p w:rsidR="00A24C03" w:rsidRPr="009473F3" w:rsidRDefault="00A24C03" w:rsidP="00174A2F">
            <w:pPr>
              <w:spacing w:before="80" w:after="80" w:line="276" w:lineRule="auto"/>
              <w:rPr>
                <w:rFonts w:cstheme="minorHAnsi"/>
              </w:rPr>
            </w:pPr>
            <w:r w:rsidRPr="009473F3">
              <w:rPr>
                <w:rFonts w:cstheme="minorHAnsi"/>
              </w:rPr>
              <w:t>1.</w:t>
            </w:r>
          </w:p>
        </w:tc>
        <w:tc>
          <w:tcPr>
            <w:tcW w:w="4252" w:type="dxa"/>
            <w:tcBorders>
              <w:top w:val="single" w:sz="4" w:space="0" w:color="auto"/>
              <w:left w:val="nil"/>
              <w:bottom w:val="single" w:sz="4" w:space="0" w:color="auto"/>
              <w:right w:val="single" w:sz="4" w:space="0" w:color="auto"/>
            </w:tcBorders>
          </w:tcPr>
          <w:p w:rsidR="00A24C03" w:rsidRPr="009473F3" w:rsidRDefault="00A24C03" w:rsidP="00641FAF">
            <w:pPr>
              <w:spacing w:before="80" w:after="80" w:line="276" w:lineRule="auto"/>
              <w:rPr>
                <w:rFonts w:cstheme="minorHAnsi"/>
              </w:rPr>
            </w:pPr>
            <w:r w:rsidRPr="009473F3">
              <w:rPr>
                <w:rFonts w:cstheme="minorHAnsi"/>
              </w:rPr>
              <w:t>Vertriebsaktivitäten auf die Einholung von Aufträgen ab einem bestimmten Wert, z. B. 300 € lenken. Ggf. spezielles, gestaffeltes Bonussystem einführen.</w:t>
            </w:r>
          </w:p>
        </w:tc>
        <w:tc>
          <w:tcPr>
            <w:tcW w:w="1701" w:type="dxa"/>
            <w:tcBorders>
              <w:left w:val="single" w:sz="4" w:space="0" w:color="auto"/>
            </w:tcBorders>
          </w:tcPr>
          <w:p w:rsidR="00A24C03" w:rsidRPr="009473F3" w:rsidRDefault="00A24C03" w:rsidP="004627CA">
            <w:pPr>
              <w:spacing w:after="200" w:line="276" w:lineRule="auto"/>
              <w:rPr>
                <w:rFonts w:cstheme="minorHAnsi"/>
              </w:rPr>
            </w:pPr>
          </w:p>
        </w:tc>
        <w:tc>
          <w:tcPr>
            <w:tcW w:w="2835" w:type="dxa"/>
          </w:tcPr>
          <w:p w:rsidR="00A24C03" w:rsidRPr="009473F3" w:rsidRDefault="00A24C03" w:rsidP="004627CA">
            <w:pPr>
              <w:spacing w:after="200" w:line="276" w:lineRule="auto"/>
              <w:rPr>
                <w:rFonts w:cstheme="minorHAnsi"/>
              </w:rPr>
            </w:pPr>
          </w:p>
        </w:tc>
      </w:tr>
      <w:tr w:rsidR="00A24C03" w:rsidRPr="009E635B" w:rsidTr="009473F3">
        <w:tc>
          <w:tcPr>
            <w:tcW w:w="426" w:type="dxa"/>
            <w:tcBorders>
              <w:top w:val="single" w:sz="4" w:space="0" w:color="auto"/>
              <w:left w:val="single" w:sz="4" w:space="0" w:color="auto"/>
              <w:bottom w:val="single" w:sz="4" w:space="0" w:color="auto"/>
              <w:right w:val="nil"/>
            </w:tcBorders>
          </w:tcPr>
          <w:p w:rsidR="00A24C03" w:rsidRPr="009473F3" w:rsidRDefault="00A24C03" w:rsidP="00174A2F">
            <w:pPr>
              <w:spacing w:before="80" w:after="80" w:line="276" w:lineRule="auto"/>
              <w:rPr>
                <w:rFonts w:cstheme="minorHAnsi"/>
              </w:rPr>
            </w:pPr>
            <w:r w:rsidRPr="009473F3">
              <w:rPr>
                <w:rFonts w:cstheme="minorHAnsi"/>
              </w:rPr>
              <w:t>2.</w:t>
            </w:r>
          </w:p>
        </w:tc>
        <w:tc>
          <w:tcPr>
            <w:tcW w:w="4252" w:type="dxa"/>
            <w:tcBorders>
              <w:top w:val="single" w:sz="4" w:space="0" w:color="auto"/>
              <w:left w:val="nil"/>
              <w:bottom w:val="single" w:sz="4" w:space="0" w:color="auto"/>
              <w:right w:val="single" w:sz="4" w:space="0" w:color="auto"/>
            </w:tcBorders>
          </w:tcPr>
          <w:p w:rsidR="00A24C03" w:rsidRPr="009473F3" w:rsidRDefault="00A24C03" w:rsidP="00174A2F">
            <w:pPr>
              <w:spacing w:before="80" w:after="80" w:line="276" w:lineRule="auto"/>
              <w:rPr>
                <w:rFonts w:cstheme="minorHAnsi"/>
              </w:rPr>
            </w:pPr>
            <w:r w:rsidRPr="009473F3">
              <w:rPr>
                <w:rFonts w:cstheme="minorHAnsi"/>
              </w:rPr>
              <w:t>Bei fehlendem Vertrieb: Kundenakquise zur Chefsache machen und/oder Handelsvertreter beauftragen.</w:t>
            </w:r>
          </w:p>
        </w:tc>
        <w:tc>
          <w:tcPr>
            <w:tcW w:w="1701" w:type="dxa"/>
            <w:tcBorders>
              <w:left w:val="single" w:sz="4" w:space="0" w:color="auto"/>
            </w:tcBorders>
          </w:tcPr>
          <w:p w:rsidR="00A24C03" w:rsidRPr="009473F3" w:rsidRDefault="00A24C03" w:rsidP="004627CA">
            <w:pPr>
              <w:spacing w:after="200" w:line="276" w:lineRule="auto"/>
              <w:rPr>
                <w:rFonts w:cstheme="minorHAnsi"/>
              </w:rPr>
            </w:pPr>
          </w:p>
        </w:tc>
        <w:tc>
          <w:tcPr>
            <w:tcW w:w="2835" w:type="dxa"/>
          </w:tcPr>
          <w:p w:rsidR="00A24C03" w:rsidRPr="009473F3" w:rsidRDefault="00A24C03" w:rsidP="004627CA">
            <w:pPr>
              <w:spacing w:after="200" w:line="276" w:lineRule="auto"/>
              <w:rPr>
                <w:rFonts w:cstheme="minorHAnsi"/>
              </w:rPr>
            </w:pPr>
          </w:p>
        </w:tc>
      </w:tr>
      <w:tr w:rsidR="00A24C03" w:rsidRPr="009E635B" w:rsidTr="009473F3">
        <w:tc>
          <w:tcPr>
            <w:tcW w:w="426" w:type="dxa"/>
            <w:tcBorders>
              <w:top w:val="single" w:sz="4" w:space="0" w:color="auto"/>
              <w:left w:val="single" w:sz="4" w:space="0" w:color="auto"/>
              <w:bottom w:val="single" w:sz="4" w:space="0" w:color="auto"/>
              <w:right w:val="nil"/>
            </w:tcBorders>
          </w:tcPr>
          <w:p w:rsidR="00A24C03" w:rsidRPr="009473F3" w:rsidRDefault="00A24C03" w:rsidP="00174A2F">
            <w:pPr>
              <w:spacing w:before="80" w:after="80"/>
              <w:rPr>
                <w:rFonts w:cstheme="minorHAnsi"/>
              </w:rPr>
            </w:pPr>
            <w:r w:rsidRPr="009473F3">
              <w:rPr>
                <w:rFonts w:cstheme="minorHAnsi"/>
              </w:rPr>
              <w:t>3.</w:t>
            </w:r>
          </w:p>
        </w:tc>
        <w:tc>
          <w:tcPr>
            <w:tcW w:w="4252" w:type="dxa"/>
            <w:tcBorders>
              <w:top w:val="single" w:sz="4" w:space="0" w:color="auto"/>
              <w:left w:val="nil"/>
              <w:bottom w:val="single" w:sz="4" w:space="0" w:color="auto"/>
              <w:right w:val="single" w:sz="4" w:space="0" w:color="auto"/>
            </w:tcBorders>
          </w:tcPr>
          <w:p w:rsidR="00A24C03" w:rsidRPr="009473F3" w:rsidRDefault="00A24C03" w:rsidP="00174A2F">
            <w:pPr>
              <w:spacing w:before="80" w:after="80"/>
              <w:rPr>
                <w:rFonts w:cstheme="minorHAnsi"/>
              </w:rPr>
            </w:pPr>
            <w:r w:rsidRPr="009473F3">
              <w:rPr>
                <w:rFonts w:cstheme="minorHAnsi"/>
              </w:rPr>
              <w:t>Gewährung von Nachlässen/Skonto bei Aufträgen, die Mindestbestellwert um wenigstens 10 % überschreiten.</w:t>
            </w:r>
          </w:p>
        </w:tc>
        <w:tc>
          <w:tcPr>
            <w:tcW w:w="1701" w:type="dxa"/>
            <w:tcBorders>
              <w:left w:val="single" w:sz="4" w:space="0" w:color="auto"/>
            </w:tcBorders>
          </w:tcPr>
          <w:p w:rsidR="00A24C03" w:rsidRPr="009473F3" w:rsidRDefault="00A24C03" w:rsidP="004627CA">
            <w:pPr>
              <w:rPr>
                <w:rFonts w:cstheme="minorHAnsi"/>
              </w:rPr>
            </w:pPr>
          </w:p>
        </w:tc>
        <w:tc>
          <w:tcPr>
            <w:tcW w:w="2835" w:type="dxa"/>
          </w:tcPr>
          <w:p w:rsidR="00A24C03" w:rsidRPr="009473F3" w:rsidRDefault="00A24C03" w:rsidP="004627CA">
            <w:pPr>
              <w:rPr>
                <w:rFonts w:cstheme="minorHAnsi"/>
              </w:rPr>
            </w:pPr>
          </w:p>
        </w:tc>
      </w:tr>
      <w:tr w:rsidR="00A24C03" w:rsidRPr="009E635B" w:rsidTr="009473F3">
        <w:tc>
          <w:tcPr>
            <w:tcW w:w="426" w:type="dxa"/>
            <w:tcBorders>
              <w:top w:val="single" w:sz="4" w:space="0" w:color="auto"/>
              <w:left w:val="single" w:sz="4" w:space="0" w:color="auto"/>
              <w:bottom w:val="single" w:sz="4" w:space="0" w:color="auto"/>
              <w:right w:val="nil"/>
            </w:tcBorders>
          </w:tcPr>
          <w:p w:rsidR="00A24C03" w:rsidRPr="009473F3" w:rsidRDefault="00A24C03" w:rsidP="00174A2F">
            <w:pPr>
              <w:spacing w:before="80" w:after="80"/>
              <w:rPr>
                <w:rFonts w:cstheme="minorHAnsi"/>
              </w:rPr>
            </w:pPr>
            <w:r w:rsidRPr="009473F3">
              <w:rPr>
                <w:rFonts w:cstheme="minorHAnsi"/>
              </w:rPr>
              <w:t>4.</w:t>
            </w:r>
          </w:p>
        </w:tc>
        <w:tc>
          <w:tcPr>
            <w:tcW w:w="4252" w:type="dxa"/>
            <w:tcBorders>
              <w:top w:val="single" w:sz="4" w:space="0" w:color="auto"/>
              <w:left w:val="nil"/>
              <w:bottom w:val="single" w:sz="4" w:space="0" w:color="auto"/>
              <w:right w:val="single" w:sz="4" w:space="0" w:color="auto"/>
            </w:tcBorders>
          </w:tcPr>
          <w:p w:rsidR="00A24C03" w:rsidRPr="009473F3" w:rsidRDefault="00A24C03" w:rsidP="00174A2F">
            <w:pPr>
              <w:spacing w:before="80" w:after="80"/>
              <w:rPr>
                <w:rFonts w:cstheme="minorHAnsi"/>
              </w:rPr>
            </w:pPr>
            <w:r w:rsidRPr="009473F3">
              <w:rPr>
                <w:rFonts w:cstheme="minorHAnsi"/>
              </w:rPr>
              <w:t xml:space="preserve">Ggf. Rabattstaffel einführen: Je höher der Auftragswert, desto höher der Nachlass. So besteht ein Anreiz für Kunden, </w:t>
            </w:r>
            <w:proofErr w:type="gramStart"/>
            <w:r w:rsidRPr="009473F3">
              <w:rPr>
                <w:rFonts w:cstheme="minorHAnsi"/>
              </w:rPr>
              <w:t>mehrere Order</w:t>
            </w:r>
            <w:proofErr w:type="gramEnd"/>
            <w:r w:rsidRPr="009473F3">
              <w:rPr>
                <w:rFonts w:cstheme="minorHAnsi"/>
              </w:rPr>
              <w:t xml:space="preserve"> zusammen zu fassen.</w:t>
            </w:r>
          </w:p>
        </w:tc>
        <w:tc>
          <w:tcPr>
            <w:tcW w:w="1701" w:type="dxa"/>
            <w:tcBorders>
              <w:left w:val="single" w:sz="4" w:space="0" w:color="auto"/>
            </w:tcBorders>
          </w:tcPr>
          <w:p w:rsidR="00A24C03" w:rsidRPr="009473F3" w:rsidRDefault="00A24C03" w:rsidP="004627CA">
            <w:pPr>
              <w:rPr>
                <w:rFonts w:cstheme="minorHAnsi"/>
              </w:rPr>
            </w:pPr>
          </w:p>
        </w:tc>
        <w:tc>
          <w:tcPr>
            <w:tcW w:w="2835" w:type="dxa"/>
          </w:tcPr>
          <w:p w:rsidR="00A24C03" w:rsidRPr="009473F3" w:rsidRDefault="00A24C03" w:rsidP="004627CA">
            <w:pPr>
              <w:rPr>
                <w:rFonts w:cstheme="minorHAnsi"/>
              </w:rPr>
            </w:pPr>
          </w:p>
        </w:tc>
      </w:tr>
      <w:tr w:rsidR="00A24C03" w:rsidRPr="009E635B" w:rsidTr="009473F3">
        <w:tc>
          <w:tcPr>
            <w:tcW w:w="426" w:type="dxa"/>
            <w:tcBorders>
              <w:top w:val="single" w:sz="4" w:space="0" w:color="auto"/>
              <w:left w:val="single" w:sz="4" w:space="0" w:color="auto"/>
              <w:bottom w:val="single" w:sz="4" w:space="0" w:color="auto"/>
              <w:right w:val="nil"/>
            </w:tcBorders>
          </w:tcPr>
          <w:p w:rsidR="00A24C03" w:rsidRPr="009473F3" w:rsidRDefault="00A24C03" w:rsidP="00174A2F">
            <w:pPr>
              <w:spacing w:before="80" w:after="80"/>
              <w:rPr>
                <w:rFonts w:cstheme="minorHAnsi"/>
              </w:rPr>
            </w:pPr>
            <w:r w:rsidRPr="009473F3">
              <w:rPr>
                <w:rFonts w:cstheme="minorHAnsi"/>
              </w:rPr>
              <w:t>5.</w:t>
            </w:r>
          </w:p>
        </w:tc>
        <w:tc>
          <w:tcPr>
            <w:tcW w:w="4252" w:type="dxa"/>
            <w:tcBorders>
              <w:top w:val="single" w:sz="4" w:space="0" w:color="auto"/>
              <w:left w:val="nil"/>
              <w:bottom w:val="single" w:sz="4" w:space="0" w:color="auto"/>
              <w:right w:val="single" w:sz="4" w:space="0" w:color="auto"/>
            </w:tcBorders>
          </w:tcPr>
          <w:p w:rsidR="00A24C03" w:rsidRPr="009473F3" w:rsidRDefault="00A24C03" w:rsidP="00174A2F">
            <w:pPr>
              <w:spacing w:before="80" w:after="80"/>
              <w:rPr>
                <w:rFonts w:cstheme="minorHAnsi"/>
              </w:rPr>
            </w:pPr>
            <w:r w:rsidRPr="009473F3">
              <w:rPr>
                <w:rFonts w:cstheme="minorHAnsi"/>
              </w:rPr>
              <w:t>Bonus auf den Gesamtauftragswert für Kunden, die während eines Jahres nur Aufträge oberhalb des Mindestwertes abgeben, z. B. 1</w:t>
            </w:r>
            <w:r w:rsidR="009473F3" w:rsidRPr="009473F3">
              <w:rPr>
                <w:rFonts w:cstheme="minorHAnsi"/>
              </w:rPr>
              <w:t>–</w:t>
            </w:r>
            <w:r w:rsidRPr="009473F3">
              <w:rPr>
                <w:rFonts w:cstheme="minorHAnsi"/>
              </w:rPr>
              <w:t>3 %.</w:t>
            </w:r>
          </w:p>
        </w:tc>
        <w:tc>
          <w:tcPr>
            <w:tcW w:w="1701" w:type="dxa"/>
            <w:tcBorders>
              <w:left w:val="single" w:sz="4" w:space="0" w:color="auto"/>
            </w:tcBorders>
          </w:tcPr>
          <w:p w:rsidR="00A24C03" w:rsidRPr="009473F3" w:rsidRDefault="00A24C03" w:rsidP="004627CA">
            <w:pPr>
              <w:rPr>
                <w:rFonts w:cstheme="minorHAnsi"/>
              </w:rPr>
            </w:pPr>
          </w:p>
        </w:tc>
        <w:tc>
          <w:tcPr>
            <w:tcW w:w="2835" w:type="dxa"/>
          </w:tcPr>
          <w:p w:rsidR="00A24C03" w:rsidRPr="009473F3" w:rsidRDefault="00A24C03" w:rsidP="004627CA">
            <w:pPr>
              <w:rPr>
                <w:rFonts w:cstheme="minorHAnsi"/>
              </w:rPr>
            </w:pPr>
          </w:p>
        </w:tc>
      </w:tr>
      <w:tr w:rsidR="00A24C03" w:rsidRPr="009E635B" w:rsidTr="009473F3">
        <w:tc>
          <w:tcPr>
            <w:tcW w:w="426" w:type="dxa"/>
            <w:tcBorders>
              <w:top w:val="single" w:sz="4" w:space="0" w:color="auto"/>
              <w:left w:val="single" w:sz="4" w:space="0" w:color="auto"/>
              <w:bottom w:val="single" w:sz="4" w:space="0" w:color="auto"/>
              <w:right w:val="nil"/>
            </w:tcBorders>
          </w:tcPr>
          <w:p w:rsidR="00A24C03" w:rsidRPr="009473F3" w:rsidRDefault="00A24C03" w:rsidP="00174A2F">
            <w:pPr>
              <w:spacing w:before="80" w:after="80"/>
              <w:rPr>
                <w:rFonts w:cstheme="minorHAnsi"/>
              </w:rPr>
            </w:pPr>
            <w:r w:rsidRPr="009473F3">
              <w:rPr>
                <w:rFonts w:cstheme="minorHAnsi"/>
              </w:rPr>
              <w:t>6.</w:t>
            </w:r>
          </w:p>
        </w:tc>
        <w:tc>
          <w:tcPr>
            <w:tcW w:w="4252" w:type="dxa"/>
            <w:tcBorders>
              <w:top w:val="single" w:sz="4" w:space="0" w:color="auto"/>
              <w:left w:val="nil"/>
              <w:bottom w:val="single" w:sz="4" w:space="0" w:color="auto"/>
              <w:right w:val="single" w:sz="4" w:space="0" w:color="auto"/>
            </w:tcBorders>
          </w:tcPr>
          <w:p w:rsidR="00A24C03" w:rsidRPr="009473F3" w:rsidRDefault="00A24C03" w:rsidP="00174A2F">
            <w:pPr>
              <w:spacing w:before="80" w:after="80"/>
              <w:rPr>
                <w:rFonts w:cstheme="minorHAnsi"/>
              </w:rPr>
            </w:pPr>
            <w:r w:rsidRPr="009473F3">
              <w:rPr>
                <w:rFonts w:cstheme="minorHAnsi"/>
              </w:rPr>
              <w:t>Kleinkunden Bündelung von Aufträgen bzw. eine Bestellung für mehrere Monate anbieten. Wichtige Verkaufsargumente sind die für den Kunden geringe Kapitalbindung und die Möglichkeit des Mandantenbetriebs, Kosten günstig bzw. ohne Zuschläge anbieten zu können.</w:t>
            </w:r>
          </w:p>
        </w:tc>
        <w:tc>
          <w:tcPr>
            <w:tcW w:w="1701" w:type="dxa"/>
            <w:tcBorders>
              <w:left w:val="single" w:sz="4" w:space="0" w:color="auto"/>
            </w:tcBorders>
          </w:tcPr>
          <w:p w:rsidR="00A24C03" w:rsidRPr="009473F3" w:rsidRDefault="00A24C03" w:rsidP="004627CA">
            <w:pPr>
              <w:rPr>
                <w:rFonts w:cstheme="minorHAnsi"/>
              </w:rPr>
            </w:pPr>
          </w:p>
        </w:tc>
        <w:tc>
          <w:tcPr>
            <w:tcW w:w="2835" w:type="dxa"/>
          </w:tcPr>
          <w:p w:rsidR="00A24C03" w:rsidRPr="009473F3" w:rsidRDefault="00A24C03" w:rsidP="004627CA">
            <w:pPr>
              <w:rPr>
                <w:rFonts w:cstheme="minorHAnsi"/>
              </w:rPr>
            </w:pPr>
          </w:p>
        </w:tc>
      </w:tr>
      <w:tr w:rsidR="00A24C03" w:rsidRPr="009E635B" w:rsidTr="009473F3">
        <w:tc>
          <w:tcPr>
            <w:tcW w:w="426" w:type="dxa"/>
            <w:tcBorders>
              <w:top w:val="single" w:sz="4" w:space="0" w:color="auto"/>
              <w:left w:val="single" w:sz="4" w:space="0" w:color="auto"/>
              <w:bottom w:val="single" w:sz="4" w:space="0" w:color="auto"/>
              <w:right w:val="nil"/>
            </w:tcBorders>
          </w:tcPr>
          <w:p w:rsidR="00A24C03" w:rsidRPr="009473F3" w:rsidRDefault="00A24C03" w:rsidP="00174A2F">
            <w:pPr>
              <w:spacing w:before="80" w:after="80"/>
              <w:rPr>
                <w:rFonts w:cstheme="minorHAnsi"/>
              </w:rPr>
            </w:pPr>
            <w:r w:rsidRPr="009473F3">
              <w:rPr>
                <w:rFonts w:cstheme="minorHAnsi"/>
              </w:rPr>
              <w:t>7.</w:t>
            </w:r>
          </w:p>
        </w:tc>
        <w:tc>
          <w:tcPr>
            <w:tcW w:w="4252" w:type="dxa"/>
            <w:tcBorders>
              <w:top w:val="single" w:sz="4" w:space="0" w:color="auto"/>
              <w:left w:val="nil"/>
              <w:bottom w:val="single" w:sz="4" w:space="0" w:color="auto"/>
              <w:right w:val="single" w:sz="4" w:space="0" w:color="auto"/>
            </w:tcBorders>
          </w:tcPr>
          <w:p w:rsidR="00A24C03" w:rsidRPr="009473F3" w:rsidRDefault="00A24C03" w:rsidP="00174A2F">
            <w:pPr>
              <w:spacing w:before="80" w:after="80"/>
              <w:rPr>
                <w:rFonts w:cstheme="minorHAnsi"/>
              </w:rPr>
            </w:pPr>
            <w:r w:rsidRPr="009473F3">
              <w:rPr>
                <w:rFonts w:cstheme="minorHAnsi"/>
              </w:rPr>
              <w:t>Bei überwiegendem Stammkundenanteil: Möglichkeit der Auftragsbündelung durch mehrere Kunden anbieten, etwa analog der Bestellung von Heizöl.</w:t>
            </w:r>
          </w:p>
        </w:tc>
        <w:tc>
          <w:tcPr>
            <w:tcW w:w="1701" w:type="dxa"/>
            <w:tcBorders>
              <w:left w:val="single" w:sz="4" w:space="0" w:color="auto"/>
            </w:tcBorders>
          </w:tcPr>
          <w:p w:rsidR="00A24C03" w:rsidRPr="009473F3" w:rsidRDefault="00A24C03" w:rsidP="004627CA">
            <w:pPr>
              <w:rPr>
                <w:rFonts w:cstheme="minorHAnsi"/>
              </w:rPr>
            </w:pPr>
          </w:p>
        </w:tc>
        <w:tc>
          <w:tcPr>
            <w:tcW w:w="2835" w:type="dxa"/>
          </w:tcPr>
          <w:p w:rsidR="00A24C03" w:rsidRPr="009473F3" w:rsidRDefault="00A24C03" w:rsidP="004627CA">
            <w:pPr>
              <w:rPr>
                <w:rFonts w:cstheme="minorHAnsi"/>
              </w:rPr>
            </w:pPr>
          </w:p>
        </w:tc>
      </w:tr>
    </w:tbl>
    <w:p w:rsidR="009E635B" w:rsidRDefault="009E635B"/>
    <w:sectPr w:rsidR="009E635B">
      <w:headerReference w:type="default" r:id="rId6"/>
      <w:footerReference w:type="default" r:id="rId7"/>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37D1E" w:rsidRDefault="00437D1E" w:rsidP="007442DF">
      <w:pPr>
        <w:spacing w:after="0" w:line="240" w:lineRule="auto"/>
      </w:pPr>
      <w:r>
        <w:separator/>
      </w:r>
    </w:p>
  </w:endnote>
  <w:endnote w:type="continuationSeparator" w:id="0">
    <w:p w:rsidR="00437D1E" w:rsidRDefault="00437D1E" w:rsidP="007442D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442DF" w:rsidRPr="009473F3" w:rsidRDefault="009473F3" w:rsidP="009473F3">
    <w:pPr>
      <w:pStyle w:val="Fuzeile"/>
      <w:tabs>
        <w:tab w:val="clear" w:pos="4536"/>
        <w:tab w:val="clear" w:pos="9072"/>
        <w:tab w:val="left" w:pos="5670"/>
        <w:tab w:val="left" w:pos="7371"/>
      </w:tabs>
      <w:jc w:val="right"/>
      <w:rPr>
        <w:rFonts w:cs="Arial"/>
        <w:color w:val="808080" w:themeColor="background1" w:themeShade="80"/>
      </w:rPr>
    </w:pPr>
    <w:r w:rsidRPr="00A412B7">
      <w:rPr>
        <w:rFonts w:cs="Arial"/>
        <w:color w:val="808080" w:themeColor="background1" w:themeShade="80"/>
      </w:rPr>
      <w:t xml:space="preserve">NWB Datenbank </w:t>
    </w:r>
    <w:proofErr w:type="spellStart"/>
    <w:r w:rsidRPr="00A412B7">
      <w:rPr>
        <w:rFonts w:cs="Arial"/>
        <w:color w:val="808080" w:themeColor="background1" w:themeShade="80"/>
      </w:rPr>
      <w:t>DokID</w:t>
    </w:r>
    <w:proofErr w:type="spellEnd"/>
    <w:r w:rsidRPr="00A412B7">
      <w:rPr>
        <w:rFonts w:cs="Arial"/>
        <w:color w:val="808080" w:themeColor="background1" w:themeShade="80"/>
      </w:rPr>
      <w:t xml:space="preserve"> </w:t>
    </w:r>
    <w:r>
      <w:rPr>
        <w:rFonts w:cs="Arial"/>
        <w:color w:val="808080" w:themeColor="background1" w:themeShade="80"/>
      </w:rPr>
      <w:t>VAAAC-54242</w:t>
    </w:r>
    <w:r w:rsidRPr="00A412B7">
      <w:rPr>
        <w:rFonts w:cs="Arial"/>
        <w:color w:val="808080" w:themeColor="background1" w:themeShade="80"/>
      </w:rPr>
      <w:tab/>
      <w:t xml:space="preserve">Seite </w:t>
    </w:r>
    <w:r w:rsidRPr="00A412B7">
      <w:rPr>
        <w:rStyle w:val="Seitenzahl"/>
        <w:color w:val="808080" w:themeColor="background1" w:themeShade="80"/>
      </w:rPr>
      <w:fldChar w:fldCharType="begin"/>
    </w:r>
    <w:r w:rsidRPr="00A412B7">
      <w:rPr>
        <w:rStyle w:val="Seitenzahl"/>
        <w:color w:val="808080" w:themeColor="background1" w:themeShade="80"/>
      </w:rPr>
      <w:instrText xml:space="preserve"> PAGE </w:instrText>
    </w:r>
    <w:r w:rsidRPr="00A412B7">
      <w:rPr>
        <w:rStyle w:val="Seitenzahl"/>
        <w:color w:val="808080" w:themeColor="background1" w:themeShade="80"/>
      </w:rPr>
      <w:fldChar w:fldCharType="separate"/>
    </w:r>
    <w:r>
      <w:rPr>
        <w:rStyle w:val="Seitenzahl"/>
        <w:color w:val="808080" w:themeColor="background1" w:themeShade="80"/>
      </w:rPr>
      <w:t>1</w:t>
    </w:r>
    <w:r w:rsidRPr="00A412B7">
      <w:rPr>
        <w:rStyle w:val="Seitenzahl"/>
        <w:color w:val="808080" w:themeColor="background1" w:themeShade="80"/>
      </w:rPr>
      <w:fldChar w:fldCharType="end"/>
    </w:r>
    <w:r w:rsidRPr="00A412B7">
      <w:rPr>
        <w:rStyle w:val="Seitenzahl"/>
        <w:color w:val="808080" w:themeColor="background1" w:themeShade="80"/>
      </w:rPr>
      <w:t xml:space="preserve"> von </w:t>
    </w:r>
    <w:r w:rsidRPr="00A412B7">
      <w:rPr>
        <w:rStyle w:val="Seitenzahl"/>
        <w:color w:val="808080" w:themeColor="background1" w:themeShade="80"/>
      </w:rPr>
      <w:fldChar w:fldCharType="begin"/>
    </w:r>
    <w:r w:rsidRPr="00A412B7">
      <w:rPr>
        <w:rStyle w:val="Seitenzahl"/>
        <w:color w:val="808080" w:themeColor="background1" w:themeShade="80"/>
      </w:rPr>
      <w:instrText xml:space="preserve"> NUMPAGES </w:instrText>
    </w:r>
    <w:r w:rsidRPr="00A412B7">
      <w:rPr>
        <w:rStyle w:val="Seitenzahl"/>
        <w:color w:val="808080" w:themeColor="background1" w:themeShade="80"/>
      </w:rPr>
      <w:fldChar w:fldCharType="separate"/>
    </w:r>
    <w:r>
      <w:rPr>
        <w:rStyle w:val="Seitenzahl"/>
        <w:color w:val="808080" w:themeColor="background1" w:themeShade="80"/>
      </w:rPr>
      <w:t>5</w:t>
    </w:r>
    <w:r w:rsidRPr="00A412B7">
      <w:rPr>
        <w:rStyle w:val="Seitenzahl"/>
        <w:color w:val="808080" w:themeColor="background1" w:themeShade="8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37D1E" w:rsidRDefault="00437D1E" w:rsidP="007442DF">
      <w:pPr>
        <w:spacing w:after="0" w:line="240" w:lineRule="auto"/>
      </w:pPr>
      <w:r>
        <w:separator/>
      </w:r>
    </w:p>
  </w:footnote>
  <w:footnote w:type="continuationSeparator" w:id="0">
    <w:p w:rsidR="00437D1E" w:rsidRDefault="00437D1E" w:rsidP="007442D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442DF" w:rsidRPr="009473F3" w:rsidRDefault="009473F3" w:rsidP="009473F3">
    <w:pPr>
      <w:pStyle w:val="Kopfzeile"/>
    </w:pPr>
    <w:r>
      <w:rPr>
        <w:noProof/>
        <w:lang w:eastAsia="de-DE"/>
      </w:rPr>
      <w:drawing>
        <wp:inline distT="0" distB="0" distL="0" distR="0" wp14:anchorId="1C152DAC" wp14:editId="7385CD7D">
          <wp:extent cx="5829300" cy="379730"/>
          <wp:effectExtent l="0" t="0" r="0" b="1270"/>
          <wp:docPr id="1" name="Grafik 0" descr="arbeitshilfe header kurz.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rbeitshilfe header kurz.png"/>
                  <pic:cNvPicPr/>
                </pic:nvPicPr>
                <pic:blipFill>
                  <a:blip r:embed="rId1"/>
                  <a:stretch>
                    <a:fillRect/>
                  </a:stretch>
                </pic:blipFill>
                <pic:spPr>
                  <a:xfrm>
                    <a:off x="0" y="0"/>
                    <a:ext cx="5829300" cy="379730"/>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E635B"/>
    <w:rsid w:val="001447BA"/>
    <w:rsid w:val="0017090C"/>
    <w:rsid w:val="00174A2F"/>
    <w:rsid w:val="00337C33"/>
    <w:rsid w:val="00437D1E"/>
    <w:rsid w:val="00641FAF"/>
    <w:rsid w:val="007442DF"/>
    <w:rsid w:val="007570FE"/>
    <w:rsid w:val="008956AB"/>
    <w:rsid w:val="009473F3"/>
    <w:rsid w:val="009E635B"/>
    <w:rsid w:val="00A24C03"/>
    <w:rsid w:val="00B16AE9"/>
    <w:rsid w:val="00E92BB1"/>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6F29227A"/>
  <w15:docId w15:val="{629B6AB9-DD61-41F6-B951-18C9A1DF82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Standard">
    <w:name w:val="Normal"/>
    <w:qFormat/>
    <w:rsid w:val="0017090C"/>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styleId="Tabellenraster">
    <w:name w:val="Table Grid"/>
    <w:basedOn w:val="NormaleTabelle"/>
    <w:uiPriority w:val="59"/>
    <w:rsid w:val="009E635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Kopfzeile">
    <w:name w:val="header"/>
    <w:basedOn w:val="Standard"/>
    <w:link w:val="KopfzeileZchn"/>
    <w:uiPriority w:val="99"/>
    <w:unhideWhenUsed/>
    <w:rsid w:val="007442DF"/>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7442DF"/>
  </w:style>
  <w:style w:type="paragraph" w:styleId="Fuzeile">
    <w:name w:val="footer"/>
    <w:basedOn w:val="Standard"/>
    <w:link w:val="FuzeileZchn"/>
    <w:unhideWhenUsed/>
    <w:rsid w:val="007442D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7442DF"/>
  </w:style>
  <w:style w:type="character" w:styleId="Seitenzahl">
    <w:name w:val="page number"/>
    <w:basedOn w:val="Absatz-Standardschriftart"/>
    <w:rsid w:val="007442D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7A12B531.dotm</Template>
  <TotalTime>0</TotalTime>
  <Pages>1</Pages>
  <Words>163</Words>
  <Characters>1029</Characters>
  <Application>Microsoft Office Word</Application>
  <DocSecurity>0</DocSecurity>
  <Lines>8</Lines>
  <Paragraphs>2</Paragraphs>
  <ScaleCrop>false</ScaleCrop>
  <HeadingPairs>
    <vt:vector size="2" baseType="variant">
      <vt:variant>
        <vt:lpstr>Titel</vt:lpstr>
      </vt:variant>
      <vt:variant>
        <vt:i4>1</vt:i4>
      </vt:variant>
    </vt:vector>
  </HeadingPairs>
  <TitlesOfParts>
    <vt:vector size="1" baseType="lpstr">
      <vt:lpstr/>
    </vt:vector>
  </TitlesOfParts>
  <Company>NWB</Company>
  <LinksUpToDate>false</LinksUpToDate>
  <CharactersWithSpaces>1190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Lucius, Heiko</dc:creator>
  <cp:lastModifiedBy>Vorreiter, Tanita</cp:lastModifiedBy>
  <cp:revision>4</cp:revision>
  <dcterms:created xsi:type="dcterms:W3CDTF">2017-09-06T13:15:00Z</dcterms:created>
  <dcterms:modified xsi:type="dcterms:W3CDTF">2021-07-26T12:45:00Z</dcterms:modified>
</cp:coreProperties>
</file>